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bookmarkStart w:id="0" w:name="_GoBack"/>
      <w:r w:rsidRPr="00C74554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ru-RU"/>
        </w:rPr>
        <w:t>RULES OF ASSOCIATION</w:t>
      </w:r>
      <w:r>
        <w:rPr>
          <w:rFonts w:ascii="Arial" w:eastAsia="Times New Roman" w:hAnsi="Arial" w:cs="Arial"/>
          <w:sz w:val="24"/>
          <w:szCs w:val="24"/>
          <w:lang w:val="en-AU" w:eastAsia="ru-RU"/>
        </w:rPr>
        <w:t xml:space="preserve"> 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proofErr w:type="gram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of</w:t>
      </w:r>
      <w:proofErr w:type="gram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Stronger4longer NC</w:t>
      </w:r>
      <w:bookmarkEnd w:id="0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.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ru-RU"/>
        </w:rPr>
        <w:t>1. NAME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The name of the association is Stronger 4 Longer Inc</w:t>
      </w:r>
      <w:proofErr w:type="gram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.(</w:t>
      </w:r>
      <w:proofErr w:type="gram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the "Association").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ru-RU"/>
        </w:rPr>
        <w:t>2. PURPOSES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The Association </w:t>
      </w:r>
      <w:proofErr w:type="gram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is established</w:t>
      </w:r>
      <w:proofErr w:type="gram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for the following public purposes: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(a) To prevent chronic disease through muscle-centric health programs, with a focus on </w:t>
      </w:r>
      <w:proofErr w:type="spell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sarcopenia</w:t>
      </w:r>
      <w:proofErr w:type="spell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(age-related muscle loss).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(b) To advocate for policy reform, including: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   - Amendments to the Medicare benefits schedule (MBS) to include item numbers for </w:t>
      </w:r>
      <w:proofErr w:type="spell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sarcopenia</w:t>
      </w:r>
      <w:proofErr w:type="spell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prevention (e.g., Fitness centre subsidised membership, free DEXA scans, free grip strength tests, subsidised </w:t>
      </w:r>
      <w:proofErr w:type="spell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dietitian</w:t>
      </w:r>
      <w:proofErr w:type="spell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/exercise physiology consults).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   - Integration of muscle health standards into Victorian aged care accreditation and primary health networks (PHNs).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(c) To deliver evidence-based programs in Victoria, including: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   - Community resistance training for seniors.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   - Protein nutrition education for at-risk groups.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(d) To collaborate with Victorian research institutions (e.g., University of Melbourne), healthcare providers, and government bodies.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ru-RU"/>
        </w:rPr>
        <w:t>3. POWERS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To fulfil its purposes, the Association may: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(a) Raise funds through grants, donations, and partnerships (e.g., </w:t>
      </w:r>
      <w:proofErr w:type="spell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VicHealth</w:t>
      </w:r>
      <w:proofErr w:type="spell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grants).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(b) Employ staff or engage volunteers.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(c) Lobby Victorian MPs, DHHS, and federal representatives (e.g., for Medicare reform).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(d) Partner with Victorian PHNs (e.g., Eastern Melbourne PHN) to pilot programs.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ru-RU"/>
        </w:rPr>
        <w:t>4. MEMBERSHIP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(a) Eligibility: Open to Victorians supporting the Association’s purposes.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lastRenderedPageBreak/>
        <w:t>(b) Fees: Set annually by the Committee (waivers for low-income members permitted).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(c) Termination: By resolution if a member acts against the Association’s interests.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ru-RU"/>
        </w:rPr>
        <w:t>GOVERNANCE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Committee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- Roles: President, Secretary, Treasurer (all Victorian residents).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- Election: At each AGM by majority vote.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- Meetings: Quarterly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General Meetings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- AGM: Held annually by 30 Novemb</w:t>
      </w:r>
      <w:r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er (per Vic law), with 14 days’</w:t>
      </w: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notice.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- Special Resolutions: Require 75% majority (e.g., to amend these Rules).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ru-RU"/>
        </w:rPr>
        <w:t>6. FINANCES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(a) Bank account: In the Association’s name (requires </w:t>
      </w:r>
      <w:proofErr w:type="gram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2</w:t>
      </w:r>
      <w:proofErr w:type="gram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Committee signatories).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(b) </w:t>
      </w:r>
      <w:proofErr w:type="gram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Reporting:</w:t>
      </w:r>
      <w:proofErr w:type="gram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Annual financial report to members at AGM.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(c) Non-profit: Income/assets used solely for the Association’s purposes.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ru-RU"/>
        </w:rPr>
        <w:t>7. DISSOLUTION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If dissolved, surplus assets </w:t>
      </w:r>
      <w:proofErr w:type="gram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are transferred</w:t>
      </w:r>
      <w:proofErr w:type="gram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to a Victorian health-promotion charity with similar purposes (e.g., </w:t>
      </w:r>
      <w:proofErr w:type="spell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VicHealth</w:t>
      </w:r>
      <w:proofErr w:type="spell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b/>
          <w:bCs/>
          <w:color w:val="000000"/>
          <w:sz w:val="24"/>
          <w:szCs w:val="24"/>
          <w:lang w:val="en-AU" w:eastAsia="ru-RU"/>
        </w:rPr>
        <w:t>8. AMENDMENTS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These Rules </w:t>
      </w:r>
      <w:proofErr w:type="gramStart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may be amended</w:t>
      </w:r>
      <w:proofErr w:type="gramEnd"/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 by special resolution (75% vote at a general meeting).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Key specific clauses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1. Clause 2(b): Explicitly references lobbying Victorian DHHS and federal MPs for Medicare reform.  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>2. Clause 3(d): Prioritises partnerships with Victorian PHNs</w:t>
      </w:r>
    </w:p>
    <w:p w:rsidR="00C74554" w:rsidRPr="00C74554" w:rsidRDefault="00C74554" w:rsidP="00C74554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AU" w:eastAsia="ru-RU"/>
        </w:rPr>
      </w:pPr>
      <w:r w:rsidRPr="00C74554">
        <w:rPr>
          <w:rFonts w:ascii="Arial" w:eastAsia="Times New Roman" w:hAnsi="Arial" w:cs="Arial"/>
          <w:color w:val="000000"/>
          <w:sz w:val="24"/>
          <w:szCs w:val="24"/>
          <w:lang w:val="en-AU" w:eastAsia="ru-RU"/>
        </w:rPr>
        <w:t xml:space="preserve">3. Clause 5: Requires Committee members to be Victorian residents (per Associations Incorporation Reform Act 2012). </w:t>
      </w:r>
    </w:p>
    <w:p w:rsidR="002328BB" w:rsidRPr="00C74554" w:rsidRDefault="002328BB" w:rsidP="00C74554">
      <w:pPr>
        <w:spacing w:line="360" w:lineRule="auto"/>
        <w:rPr>
          <w:rFonts w:ascii="Arial" w:hAnsi="Arial" w:cs="Arial"/>
          <w:sz w:val="24"/>
          <w:szCs w:val="24"/>
          <w:lang w:val="en-AU"/>
        </w:rPr>
      </w:pPr>
    </w:p>
    <w:sectPr w:rsidR="002328BB" w:rsidRPr="00C74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0"/>
    <w:rsid w:val="002328BB"/>
    <w:rsid w:val="00C74554"/>
    <w:rsid w:val="00C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B3FDC-7561-4535-80B3-6AF6188E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8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2026-04-19T11:03:00Z</dcterms:created>
  <dcterms:modified xsi:type="dcterms:W3CDTF">2026-04-19T11:05:00Z</dcterms:modified>
</cp:coreProperties>
</file>